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B1AD" w14:textId="77777777" w:rsidR="00D11BF3" w:rsidRPr="009E0566" w:rsidRDefault="00D11BF3" w:rsidP="00D11BF3">
      <w:pPr>
        <w:pStyle w:val="IntenseQuote"/>
        <w:rPr>
          <w:sz w:val="32"/>
          <w:szCs w:val="32"/>
        </w:rPr>
      </w:pPr>
      <w:r w:rsidRPr="009E0566">
        <w:rPr>
          <w:sz w:val="32"/>
          <w:szCs w:val="32"/>
        </w:rPr>
        <w:t>Glossary of Research Terms</w:t>
      </w:r>
    </w:p>
    <w:tbl>
      <w:tblPr>
        <w:tblStyle w:val="TableGrid"/>
        <w:tblW w:w="0" w:type="auto"/>
        <w:tblLook w:val="04A0" w:firstRow="1" w:lastRow="0" w:firstColumn="1" w:lastColumn="0" w:noHBand="0" w:noVBand="1"/>
      </w:tblPr>
      <w:tblGrid>
        <w:gridCol w:w="2547"/>
        <w:gridCol w:w="6463"/>
      </w:tblGrid>
      <w:tr w:rsidR="00D11BF3" w14:paraId="78B01D25" w14:textId="77777777" w:rsidTr="00025ACD">
        <w:tc>
          <w:tcPr>
            <w:tcW w:w="2547" w:type="dxa"/>
            <w:tcBorders>
              <w:top w:val="nil"/>
              <w:left w:val="nil"/>
              <w:bottom w:val="nil"/>
              <w:right w:val="nil"/>
            </w:tcBorders>
            <w:shd w:val="clear" w:color="auto" w:fill="D9E2F3" w:themeFill="accent1" w:themeFillTint="33"/>
          </w:tcPr>
          <w:p w14:paraId="791C109D" w14:textId="77777777" w:rsidR="00D11BF3" w:rsidRPr="00DE3CE9" w:rsidRDefault="00D11BF3" w:rsidP="00025ACD">
            <w:pPr>
              <w:rPr>
                <w:rFonts w:ascii="Calibri" w:hAnsi="Calibri" w:cs="Calibri"/>
                <w:b/>
                <w:color w:val="000000" w:themeColor="text1"/>
                <w:sz w:val="22"/>
                <w:szCs w:val="22"/>
              </w:rPr>
            </w:pPr>
            <w:r w:rsidRPr="00DE3CE9">
              <w:rPr>
                <w:rFonts w:ascii="Calibri" w:hAnsi="Calibri" w:cs="Calibri"/>
                <w:b/>
                <w:bCs/>
                <w:color w:val="000000" w:themeColor="text1"/>
                <w:sz w:val="22"/>
                <w:szCs w:val="22"/>
                <w:lang w:val="en-US"/>
              </w:rPr>
              <w:t xml:space="preserve">Anonymity </w:t>
            </w:r>
          </w:p>
          <w:p w14:paraId="44B63DE9" w14:textId="77777777" w:rsidR="00D11BF3" w:rsidRPr="009E0566" w:rsidRDefault="00D11BF3" w:rsidP="00025ACD">
            <w:pPr>
              <w:rPr>
                <w:rFonts w:ascii="Calibri" w:hAnsi="Calibri" w:cs="Calibri"/>
                <w:b/>
                <w:color w:val="000000" w:themeColor="text1"/>
                <w:sz w:val="22"/>
                <w:szCs w:val="22"/>
              </w:rPr>
            </w:pPr>
          </w:p>
        </w:tc>
        <w:tc>
          <w:tcPr>
            <w:tcW w:w="6463" w:type="dxa"/>
            <w:tcBorders>
              <w:top w:val="nil"/>
              <w:left w:val="nil"/>
              <w:bottom w:val="nil"/>
              <w:right w:val="nil"/>
            </w:tcBorders>
            <w:shd w:val="clear" w:color="auto" w:fill="D9E2F3" w:themeFill="accent1" w:themeFillTint="33"/>
          </w:tcPr>
          <w:p w14:paraId="1E71FC9F" w14:textId="77777777" w:rsidR="00D11BF3" w:rsidRPr="009E0566" w:rsidRDefault="00D11BF3" w:rsidP="00025ACD">
            <w:pPr>
              <w:jc w:val="both"/>
              <w:rPr>
                <w:sz w:val="22"/>
                <w:szCs w:val="22"/>
              </w:rPr>
            </w:pPr>
            <w:r w:rsidRPr="009E0566">
              <w:rPr>
                <w:sz w:val="22"/>
                <w:szCs w:val="22"/>
              </w:rPr>
              <w:t>Anonymity means that a research participant's identity and responses cannot be identified.</w:t>
            </w:r>
          </w:p>
          <w:p w14:paraId="15F52599" w14:textId="77777777" w:rsidR="00D11BF3" w:rsidRPr="009E0566" w:rsidRDefault="00D11BF3" w:rsidP="00025ACD">
            <w:pPr>
              <w:jc w:val="both"/>
              <w:rPr>
                <w:sz w:val="22"/>
                <w:szCs w:val="22"/>
              </w:rPr>
            </w:pPr>
          </w:p>
        </w:tc>
      </w:tr>
      <w:tr w:rsidR="00D11BF3" w14:paraId="62406C56" w14:textId="77777777" w:rsidTr="00025ACD">
        <w:tc>
          <w:tcPr>
            <w:tcW w:w="2547" w:type="dxa"/>
            <w:tcBorders>
              <w:top w:val="nil"/>
              <w:left w:val="nil"/>
              <w:bottom w:val="nil"/>
              <w:right w:val="nil"/>
            </w:tcBorders>
            <w:shd w:val="clear" w:color="auto" w:fill="FFFFFF" w:themeFill="background1"/>
          </w:tcPr>
          <w:p w14:paraId="175B07FC"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Coercion </w:t>
            </w:r>
          </w:p>
        </w:tc>
        <w:tc>
          <w:tcPr>
            <w:tcW w:w="6463" w:type="dxa"/>
            <w:tcBorders>
              <w:top w:val="nil"/>
              <w:left w:val="nil"/>
              <w:bottom w:val="nil"/>
              <w:right w:val="nil"/>
            </w:tcBorders>
            <w:shd w:val="clear" w:color="auto" w:fill="FFFFFF" w:themeFill="background1"/>
          </w:tcPr>
          <w:p w14:paraId="1A4E059F" w14:textId="77777777" w:rsidR="00D11BF3" w:rsidRPr="009E0566" w:rsidRDefault="00D11BF3" w:rsidP="00025ACD">
            <w:pPr>
              <w:jc w:val="both"/>
              <w:rPr>
                <w:sz w:val="22"/>
                <w:szCs w:val="22"/>
              </w:rPr>
            </w:pPr>
            <w:r w:rsidRPr="009E0566">
              <w:rPr>
                <w:sz w:val="22"/>
                <w:szCs w:val="22"/>
              </w:rPr>
              <w:t>Coercion occurs when an overt or implicit threat of harm is intentionally presented in order to obtain compliance from a participant. For example, an investigator might tell a prospective subject that he or she will lose access to needed health services if he or she does not participate in the research.</w:t>
            </w:r>
          </w:p>
          <w:p w14:paraId="3E3A6BA5" w14:textId="77777777" w:rsidR="00D11BF3" w:rsidRPr="009E0566" w:rsidRDefault="00D11BF3" w:rsidP="00025ACD">
            <w:pPr>
              <w:jc w:val="both"/>
              <w:rPr>
                <w:sz w:val="22"/>
                <w:szCs w:val="22"/>
              </w:rPr>
            </w:pPr>
          </w:p>
        </w:tc>
      </w:tr>
      <w:tr w:rsidR="00D11BF3" w14:paraId="20E69E49" w14:textId="77777777" w:rsidTr="00025ACD">
        <w:tc>
          <w:tcPr>
            <w:tcW w:w="2547" w:type="dxa"/>
            <w:tcBorders>
              <w:top w:val="nil"/>
              <w:left w:val="nil"/>
              <w:bottom w:val="nil"/>
              <w:right w:val="nil"/>
            </w:tcBorders>
            <w:shd w:val="clear" w:color="auto" w:fill="D9E2F3" w:themeFill="accent1" w:themeFillTint="33"/>
          </w:tcPr>
          <w:p w14:paraId="5C88FF73" w14:textId="77777777" w:rsidR="00D11BF3" w:rsidRPr="00DE3CE9" w:rsidRDefault="00D11BF3" w:rsidP="00025ACD">
            <w:pPr>
              <w:rPr>
                <w:rFonts w:ascii="Calibri" w:hAnsi="Calibri" w:cs="Calibri"/>
                <w:b/>
                <w:color w:val="000000" w:themeColor="text1"/>
                <w:sz w:val="22"/>
                <w:szCs w:val="22"/>
              </w:rPr>
            </w:pPr>
            <w:r w:rsidRPr="00DE3CE9">
              <w:rPr>
                <w:rFonts w:ascii="Calibri" w:hAnsi="Calibri" w:cs="Calibri"/>
                <w:b/>
                <w:bCs/>
                <w:color w:val="000000" w:themeColor="text1"/>
                <w:sz w:val="22"/>
                <w:szCs w:val="22"/>
                <w:lang w:val="en-US"/>
              </w:rPr>
              <w:t>Confidentiality</w:t>
            </w:r>
          </w:p>
          <w:p w14:paraId="0EBCC150" w14:textId="77777777" w:rsidR="00D11BF3" w:rsidRPr="009E0566" w:rsidRDefault="00D11BF3" w:rsidP="00025ACD">
            <w:pPr>
              <w:rPr>
                <w:rFonts w:ascii="Calibri" w:hAnsi="Calibri" w:cs="Calibri"/>
                <w:b/>
                <w:color w:val="000000" w:themeColor="text1"/>
                <w:sz w:val="22"/>
                <w:szCs w:val="22"/>
              </w:rPr>
            </w:pPr>
          </w:p>
        </w:tc>
        <w:tc>
          <w:tcPr>
            <w:tcW w:w="6463" w:type="dxa"/>
            <w:tcBorders>
              <w:top w:val="nil"/>
              <w:left w:val="nil"/>
              <w:bottom w:val="nil"/>
              <w:right w:val="nil"/>
            </w:tcBorders>
            <w:shd w:val="clear" w:color="auto" w:fill="D9E2F3" w:themeFill="accent1" w:themeFillTint="33"/>
          </w:tcPr>
          <w:p w14:paraId="7A50C811" w14:textId="77777777" w:rsidR="00D11BF3" w:rsidRPr="009E0566" w:rsidRDefault="00D11BF3" w:rsidP="00025ACD">
            <w:pPr>
              <w:jc w:val="both"/>
              <w:rPr>
                <w:sz w:val="22"/>
                <w:szCs w:val="22"/>
              </w:rPr>
            </w:pPr>
            <w:r w:rsidRPr="009E0566">
              <w:rPr>
                <w:sz w:val="22"/>
                <w:szCs w:val="22"/>
              </w:rPr>
              <w:t>The idea that, apart from where necessary in order to conduct the research all personal details of the participant should be kept private by the researcher and not disclosed to any third party.</w:t>
            </w:r>
          </w:p>
          <w:p w14:paraId="08182240" w14:textId="77777777" w:rsidR="00D11BF3" w:rsidRPr="009E0566" w:rsidRDefault="00D11BF3" w:rsidP="00025ACD">
            <w:pPr>
              <w:jc w:val="both"/>
              <w:rPr>
                <w:sz w:val="22"/>
                <w:szCs w:val="22"/>
              </w:rPr>
            </w:pPr>
          </w:p>
        </w:tc>
      </w:tr>
      <w:tr w:rsidR="00D11BF3" w14:paraId="11F252FE" w14:textId="77777777" w:rsidTr="00025ACD">
        <w:tc>
          <w:tcPr>
            <w:tcW w:w="2547" w:type="dxa"/>
            <w:tcBorders>
              <w:top w:val="nil"/>
              <w:left w:val="nil"/>
              <w:bottom w:val="nil"/>
              <w:right w:val="nil"/>
            </w:tcBorders>
            <w:shd w:val="clear" w:color="auto" w:fill="FFFFFF" w:themeFill="background1"/>
          </w:tcPr>
          <w:p w14:paraId="4A53105D"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Confounding</w:t>
            </w:r>
          </w:p>
        </w:tc>
        <w:tc>
          <w:tcPr>
            <w:tcW w:w="6463" w:type="dxa"/>
            <w:tcBorders>
              <w:top w:val="nil"/>
              <w:left w:val="nil"/>
              <w:bottom w:val="nil"/>
              <w:right w:val="nil"/>
            </w:tcBorders>
            <w:shd w:val="clear" w:color="auto" w:fill="FFFFFF" w:themeFill="background1"/>
          </w:tcPr>
          <w:p w14:paraId="6FA7A250" w14:textId="77777777" w:rsidR="00D11BF3" w:rsidRPr="009E0566" w:rsidRDefault="00D11BF3" w:rsidP="00025ACD">
            <w:pPr>
              <w:jc w:val="both"/>
              <w:rPr>
                <w:sz w:val="22"/>
                <w:szCs w:val="22"/>
              </w:rPr>
            </w:pPr>
            <w:r w:rsidRPr="009E0566">
              <w:rPr>
                <w:sz w:val="22"/>
                <w:szCs w:val="22"/>
              </w:rPr>
              <w:t>Confounding happens when it wrongly appears that a certain thing – let’s call it factor A causes factor B to happen.</w:t>
            </w:r>
          </w:p>
          <w:p w14:paraId="0D0AD1CC" w14:textId="77777777" w:rsidR="00D11BF3" w:rsidRPr="009E0566" w:rsidRDefault="00D11BF3" w:rsidP="00025ACD">
            <w:pPr>
              <w:jc w:val="both"/>
              <w:rPr>
                <w:sz w:val="22"/>
                <w:szCs w:val="22"/>
              </w:rPr>
            </w:pPr>
            <w:r w:rsidRPr="009E0566">
              <w:rPr>
                <w:sz w:val="22"/>
                <w:szCs w:val="22"/>
              </w:rPr>
              <w:t>The reason this has come about is because a third factor – factor C - ‘the extraneous variable’ is associated with both factor A and factor B and making it seem like these two things are connected even when they are not.</w:t>
            </w:r>
          </w:p>
          <w:p w14:paraId="731F46F6" w14:textId="77777777" w:rsidR="00D11BF3" w:rsidRPr="009E0566" w:rsidRDefault="00D11BF3" w:rsidP="00025ACD">
            <w:pPr>
              <w:jc w:val="both"/>
              <w:rPr>
                <w:sz w:val="22"/>
                <w:szCs w:val="22"/>
              </w:rPr>
            </w:pPr>
          </w:p>
        </w:tc>
      </w:tr>
      <w:tr w:rsidR="00D11BF3" w14:paraId="4597A8D4" w14:textId="77777777" w:rsidTr="00025ACD">
        <w:tc>
          <w:tcPr>
            <w:tcW w:w="2547" w:type="dxa"/>
            <w:tcBorders>
              <w:top w:val="nil"/>
              <w:left w:val="nil"/>
              <w:bottom w:val="nil"/>
              <w:right w:val="nil"/>
            </w:tcBorders>
            <w:shd w:val="clear" w:color="auto" w:fill="D9E2F3" w:themeFill="accent1" w:themeFillTint="33"/>
          </w:tcPr>
          <w:p w14:paraId="1866850F"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lang w:val="en-US"/>
              </w:rPr>
              <w:t xml:space="preserve">Extraneous variables </w:t>
            </w:r>
          </w:p>
        </w:tc>
        <w:tc>
          <w:tcPr>
            <w:tcW w:w="6463" w:type="dxa"/>
            <w:tcBorders>
              <w:top w:val="nil"/>
              <w:left w:val="nil"/>
              <w:bottom w:val="nil"/>
              <w:right w:val="nil"/>
            </w:tcBorders>
            <w:shd w:val="clear" w:color="auto" w:fill="D9E2F3" w:themeFill="accent1" w:themeFillTint="33"/>
          </w:tcPr>
          <w:p w14:paraId="300B5F6D" w14:textId="77777777" w:rsidR="00D11BF3" w:rsidRPr="009E0566" w:rsidRDefault="00D11BF3" w:rsidP="00025ACD">
            <w:pPr>
              <w:jc w:val="both"/>
              <w:rPr>
                <w:sz w:val="22"/>
                <w:szCs w:val="22"/>
              </w:rPr>
            </w:pPr>
            <w:r w:rsidRPr="009E0566">
              <w:rPr>
                <w:sz w:val="22"/>
                <w:szCs w:val="22"/>
              </w:rPr>
              <w:t xml:space="preserve">These are any variables that you are not intentionally studying in your experiment. They might have an influence on the outcome you are studying. </w:t>
            </w:r>
          </w:p>
          <w:p w14:paraId="3F589D4F" w14:textId="77777777" w:rsidR="00D11BF3" w:rsidRPr="009E0566" w:rsidRDefault="00D11BF3" w:rsidP="00025ACD">
            <w:pPr>
              <w:jc w:val="both"/>
              <w:rPr>
                <w:sz w:val="22"/>
                <w:szCs w:val="22"/>
              </w:rPr>
            </w:pPr>
          </w:p>
        </w:tc>
      </w:tr>
      <w:tr w:rsidR="00D11BF3" w14:paraId="1CFDB314" w14:textId="77777777" w:rsidTr="00025ACD">
        <w:tc>
          <w:tcPr>
            <w:tcW w:w="2547" w:type="dxa"/>
            <w:tcBorders>
              <w:top w:val="nil"/>
              <w:left w:val="nil"/>
              <w:bottom w:val="nil"/>
              <w:right w:val="nil"/>
            </w:tcBorders>
            <w:shd w:val="clear" w:color="auto" w:fill="FFFFFF" w:themeFill="background1"/>
          </w:tcPr>
          <w:p w14:paraId="6634B1A4"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Generalisability </w:t>
            </w:r>
          </w:p>
        </w:tc>
        <w:tc>
          <w:tcPr>
            <w:tcW w:w="6463" w:type="dxa"/>
            <w:tcBorders>
              <w:top w:val="nil"/>
              <w:left w:val="nil"/>
              <w:bottom w:val="nil"/>
              <w:right w:val="nil"/>
            </w:tcBorders>
            <w:shd w:val="clear" w:color="auto" w:fill="FFFFFF" w:themeFill="background1"/>
          </w:tcPr>
          <w:p w14:paraId="0E8FDE9C" w14:textId="77777777" w:rsidR="00D11BF3" w:rsidRPr="009E0566" w:rsidRDefault="00D11BF3" w:rsidP="00025ACD">
            <w:pPr>
              <w:jc w:val="both"/>
              <w:rPr>
                <w:sz w:val="22"/>
                <w:szCs w:val="22"/>
              </w:rPr>
            </w:pPr>
            <w:r w:rsidRPr="009E0566">
              <w:rPr>
                <w:sz w:val="22"/>
                <w:szCs w:val="22"/>
              </w:rPr>
              <w:t>Can the findings from your study be generalised (or extended) to the real world? How generalizable your study is</w:t>
            </w:r>
            <w:r>
              <w:rPr>
                <w:sz w:val="22"/>
                <w:szCs w:val="22"/>
              </w:rPr>
              <w:t>,</w:t>
            </w:r>
            <w:r w:rsidRPr="009E0566">
              <w:rPr>
                <w:sz w:val="22"/>
                <w:szCs w:val="22"/>
              </w:rPr>
              <w:t xml:space="preserve"> also has a lot to do with how representative your sample is of the target population. If you want to look at the prevalence of depression in South East London but your sample only includes men aged 20-30, then your findings won’t be very generalizable to the rest of South East London and cannot be extended to women, children and men of different ages. </w:t>
            </w:r>
          </w:p>
          <w:p w14:paraId="405BCE14" w14:textId="77777777" w:rsidR="00D11BF3" w:rsidRPr="009E0566" w:rsidRDefault="00D11BF3" w:rsidP="00025ACD">
            <w:pPr>
              <w:jc w:val="both"/>
              <w:rPr>
                <w:sz w:val="22"/>
                <w:szCs w:val="22"/>
              </w:rPr>
            </w:pPr>
          </w:p>
        </w:tc>
      </w:tr>
      <w:tr w:rsidR="00D11BF3" w14:paraId="3510B74C" w14:textId="77777777" w:rsidTr="00025ACD">
        <w:trPr>
          <w:trHeight w:val="1129"/>
        </w:trPr>
        <w:tc>
          <w:tcPr>
            <w:tcW w:w="2547" w:type="dxa"/>
            <w:tcBorders>
              <w:top w:val="nil"/>
              <w:left w:val="nil"/>
              <w:bottom w:val="nil"/>
              <w:right w:val="nil"/>
            </w:tcBorders>
            <w:shd w:val="clear" w:color="auto" w:fill="D9E2F3" w:themeFill="accent1" w:themeFillTint="33"/>
          </w:tcPr>
          <w:p w14:paraId="4BCBC9A0"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Health inequalities </w:t>
            </w:r>
          </w:p>
        </w:tc>
        <w:tc>
          <w:tcPr>
            <w:tcW w:w="6463" w:type="dxa"/>
            <w:tcBorders>
              <w:top w:val="nil"/>
              <w:left w:val="nil"/>
              <w:bottom w:val="nil"/>
              <w:right w:val="nil"/>
            </w:tcBorders>
            <w:shd w:val="clear" w:color="auto" w:fill="D9E2F3" w:themeFill="accent1" w:themeFillTint="33"/>
          </w:tcPr>
          <w:p w14:paraId="6402E447" w14:textId="77777777" w:rsidR="00D11BF3" w:rsidRPr="009E0566" w:rsidRDefault="00D11BF3" w:rsidP="00025ACD">
            <w:pPr>
              <w:jc w:val="both"/>
              <w:rPr>
                <w:sz w:val="22"/>
                <w:szCs w:val="22"/>
              </w:rPr>
            </w:pPr>
            <w:r w:rsidRPr="009E0566">
              <w:rPr>
                <w:sz w:val="22"/>
                <w:szCs w:val="22"/>
              </w:rPr>
              <w:t xml:space="preserve">Defined as differences in health status or in the distribution of health determinants between different population groups. For example. The difference in healthy life expectancy between different boroughs in London. </w:t>
            </w:r>
          </w:p>
          <w:p w14:paraId="5DFC59DF" w14:textId="77777777" w:rsidR="00D11BF3" w:rsidRPr="009E0566" w:rsidRDefault="00D11BF3" w:rsidP="00025ACD">
            <w:pPr>
              <w:jc w:val="both"/>
              <w:rPr>
                <w:sz w:val="22"/>
                <w:szCs w:val="22"/>
              </w:rPr>
            </w:pPr>
          </w:p>
        </w:tc>
      </w:tr>
      <w:tr w:rsidR="00D11BF3" w14:paraId="3FDF320E" w14:textId="77777777" w:rsidTr="00025ACD">
        <w:tc>
          <w:tcPr>
            <w:tcW w:w="2547" w:type="dxa"/>
            <w:tcBorders>
              <w:top w:val="nil"/>
              <w:left w:val="nil"/>
              <w:bottom w:val="nil"/>
              <w:right w:val="nil"/>
            </w:tcBorders>
            <w:shd w:val="clear" w:color="auto" w:fill="FFFFFF" w:themeFill="background1"/>
          </w:tcPr>
          <w:p w14:paraId="5D54BF0A"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Healthy life expectancy </w:t>
            </w:r>
          </w:p>
        </w:tc>
        <w:tc>
          <w:tcPr>
            <w:tcW w:w="6463" w:type="dxa"/>
            <w:tcBorders>
              <w:top w:val="nil"/>
              <w:left w:val="nil"/>
              <w:bottom w:val="nil"/>
              <w:right w:val="nil"/>
            </w:tcBorders>
            <w:shd w:val="clear" w:color="auto" w:fill="FFFFFF" w:themeFill="background1"/>
          </w:tcPr>
          <w:p w14:paraId="1731DA12" w14:textId="77777777" w:rsidR="00D11BF3" w:rsidRPr="009E0566" w:rsidRDefault="00D11BF3" w:rsidP="00025ACD">
            <w:pPr>
              <w:jc w:val="both"/>
              <w:rPr>
                <w:rFonts w:ascii="Calibri" w:hAnsi="Calibri" w:cs="Calibri"/>
                <w:color w:val="000000" w:themeColor="text1"/>
                <w:sz w:val="22"/>
                <w:szCs w:val="22"/>
              </w:rPr>
            </w:pPr>
            <w:r w:rsidRPr="009E0566">
              <w:rPr>
                <w:rFonts w:ascii="Calibri" w:hAnsi="Calibri" w:cs="Calibri"/>
                <w:color w:val="000000" w:themeColor="text1"/>
                <w:sz w:val="22"/>
                <w:szCs w:val="22"/>
              </w:rPr>
              <w:t>Years spent in good health.</w:t>
            </w:r>
          </w:p>
          <w:p w14:paraId="6E87AC8B" w14:textId="77777777" w:rsidR="00D11BF3" w:rsidRPr="009E0566" w:rsidRDefault="00D11BF3" w:rsidP="00025ACD">
            <w:pPr>
              <w:jc w:val="both"/>
              <w:rPr>
                <w:rFonts w:ascii="Calibri" w:hAnsi="Calibri" w:cs="Calibri"/>
                <w:color w:val="000000" w:themeColor="text1"/>
                <w:sz w:val="22"/>
                <w:szCs w:val="22"/>
              </w:rPr>
            </w:pPr>
          </w:p>
          <w:p w14:paraId="65F33FB0" w14:textId="77777777" w:rsidR="00D11BF3" w:rsidRPr="009E0566" w:rsidRDefault="00D11BF3" w:rsidP="00025ACD">
            <w:pPr>
              <w:jc w:val="both"/>
              <w:rPr>
                <w:rFonts w:ascii="Calibri" w:hAnsi="Calibri" w:cs="Calibri"/>
                <w:color w:val="000000" w:themeColor="text1"/>
                <w:sz w:val="22"/>
                <w:szCs w:val="22"/>
              </w:rPr>
            </w:pPr>
          </w:p>
        </w:tc>
      </w:tr>
      <w:tr w:rsidR="00D11BF3" w14:paraId="08E0AAD5" w14:textId="77777777" w:rsidTr="00025ACD">
        <w:tc>
          <w:tcPr>
            <w:tcW w:w="2547" w:type="dxa"/>
            <w:tcBorders>
              <w:top w:val="nil"/>
              <w:left w:val="nil"/>
              <w:bottom w:val="nil"/>
              <w:right w:val="nil"/>
            </w:tcBorders>
            <w:shd w:val="clear" w:color="auto" w:fill="D9E2F3" w:themeFill="accent1" w:themeFillTint="33"/>
          </w:tcPr>
          <w:p w14:paraId="70902B3C"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Informed consent</w:t>
            </w:r>
          </w:p>
        </w:tc>
        <w:tc>
          <w:tcPr>
            <w:tcW w:w="6463" w:type="dxa"/>
            <w:tcBorders>
              <w:top w:val="nil"/>
              <w:left w:val="nil"/>
              <w:bottom w:val="nil"/>
              <w:right w:val="nil"/>
            </w:tcBorders>
            <w:shd w:val="clear" w:color="auto" w:fill="D9E2F3" w:themeFill="accent1" w:themeFillTint="33"/>
          </w:tcPr>
          <w:p w14:paraId="65D78911" w14:textId="77777777" w:rsidR="00D11BF3" w:rsidRPr="009E0566" w:rsidRDefault="00D11BF3" w:rsidP="00025ACD">
            <w:pPr>
              <w:jc w:val="both"/>
              <w:rPr>
                <w:sz w:val="22"/>
                <w:szCs w:val="22"/>
              </w:rPr>
            </w:pPr>
            <w:r w:rsidRPr="009E0566">
              <w:rPr>
                <w:sz w:val="22"/>
                <w:szCs w:val="22"/>
              </w:rPr>
              <w:t>Informed Consent is a voluntary agreement to participate in research. It is not merely a form that is signed but is a process, in which the subject has an understanding of the research and its risks.</w:t>
            </w:r>
          </w:p>
          <w:p w14:paraId="18B23D26" w14:textId="77777777" w:rsidR="00D11BF3" w:rsidRPr="009E0566" w:rsidRDefault="00D11BF3" w:rsidP="00025ACD">
            <w:pPr>
              <w:jc w:val="both"/>
              <w:rPr>
                <w:sz w:val="22"/>
                <w:szCs w:val="22"/>
              </w:rPr>
            </w:pPr>
          </w:p>
        </w:tc>
      </w:tr>
      <w:tr w:rsidR="00D11BF3" w14:paraId="7FA3A042" w14:textId="77777777" w:rsidTr="00025ACD">
        <w:tc>
          <w:tcPr>
            <w:tcW w:w="2547" w:type="dxa"/>
            <w:tcBorders>
              <w:top w:val="nil"/>
              <w:left w:val="nil"/>
              <w:bottom w:val="nil"/>
              <w:right w:val="nil"/>
            </w:tcBorders>
          </w:tcPr>
          <w:p w14:paraId="2E06608E"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lastRenderedPageBreak/>
              <w:t xml:space="preserve">Prevalence </w:t>
            </w:r>
          </w:p>
        </w:tc>
        <w:tc>
          <w:tcPr>
            <w:tcW w:w="6463" w:type="dxa"/>
            <w:tcBorders>
              <w:top w:val="nil"/>
              <w:left w:val="nil"/>
              <w:bottom w:val="nil"/>
              <w:right w:val="nil"/>
            </w:tcBorders>
          </w:tcPr>
          <w:p w14:paraId="45B303BF" w14:textId="77777777" w:rsidR="00D11BF3" w:rsidRPr="009E0566" w:rsidRDefault="00D11BF3" w:rsidP="00025ACD">
            <w:pPr>
              <w:jc w:val="both"/>
              <w:rPr>
                <w:sz w:val="22"/>
                <w:szCs w:val="22"/>
              </w:rPr>
            </w:pPr>
            <w:r w:rsidRPr="009E0566">
              <w:rPr>
                <w:sz w:val="22"/>
                <w:szCs w:val="22"/>
              </w:rPr>
              <w:t xml:space="preserve">Prevalence is the proportion or percentage of a population who have a specific characteristic or health status at a particular time. </w:t>
            </w:r>
          </w:p>
        </w:tc>
      </w:tr>
      <w:tr w:rsidR="00D11BF3" w14:paraId="76A5681F" w14:textId="77777777" w:rsidTr="00025ACD">
        <w:tc>
          <w:tcPr>
            <w:tcW w:w="2547" w:type="dxa"/>
            <w:tcBorders>
              <w:top w:val="nil"/>
              <w:left w:val="nil"/>
              <w:bottom w:val="nil"/>
              <w:right w:val="nil"/>
            </w:tcBorders>
          </w:tcPr>
          <w:p w14:paraId="4347F711" w14:textId="77777777" w:rsidR="00D11BF3" w:rsidRPr="009E0566" w:rsidRDefault="00D11BF3" w:rsidP="00025ACD">
            <w:pPr>
              <w:rPr>
                <w:rFonts w:ascii="Calibri" w:hAnsi="Calibri" w:cs="Calibri"/>
                <w:b/>
                <w:color w:val="000000" w:themeColor="text1"/>
                <w:sz w:val="22"/>
                <w:szCs w:val="22"/>
              </w:rPr>
            </w:pPr>
          </w:p>
        </w:tc>
        <w:tc>
          <w:tcPr>
            <w:tcW w:w="6463" w:type="dxa"/>
            <w:tcBorders>
              <w:top w:val="nil"/>
              <w:left w:val="nil"/>
              <w:bottom w:val="nil"/>
              <w:right w:val="nil"/>
            </w:tcBorders>
          </w:tcPr>
          <w:p w14:paraId="3ADE2104" w14:textId="77777777" w:rsidR="00D11BF3" w:rsidRPr="009E0566" w:rsidRDefault="00D11BF3" w:rsidP="00025ACD">
            <w:pPr>
              <w:jc w:val="both"/>
              <w:rPr>
                <w:sz w:val="22"/>
                <w:szCs w:val="22"/>
              </w:rPr>
            </w:pPr>
          </w:p>
        </w:tc>
      </w:tr>
      <w:tr w:rsidR="00D11BF3" w14:paraId="603DDF99" w14:textId="77777777" w:rsidTr="00025ACD">
        <w:tc>
          <w:tcPr>
            <w:tcW w:w="2547" w:type="dxa"/>
            <w:tcBorders>
              <w:top w:val="nil"/>
              <w:left w:val="nil"/>
              <w:bottom w:val="nil"/>
              <w:right w:val="nil"/>
            </w:tcBorders>
            <w:shd w:val="clear" w:color="auto" w:fill="D9E2F3" w:themeFill="accent1" w:themeFillTint="33"/>
          </w:tcPr>
          <w:p w14:paraId="42986D04"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Qualitative designs</w:t>
            </w:r>
          </w:p>
        </w:tc>
        <w:tc>
          <w:tcPr>
            <w:tcW w:w="6463" w:type="dxa"/>
            <w:tcBorders>
              <w:top w:val="nil"/>
              <w:left w:val="nil"/>
              <w:bottom w:val="nil"/>
              <w:right w:val="nil"/>
            </w:tcBorders>
            <w:shd w:val="clear" w:color="auto" w:fill="D9E2F3" w:themeFill="accent1" w:themeFillTint="33"/>
          </w:tcPr>
          <w:p w14:paraId="6C9B00C0" w14:textId="77777777" w:rsidR="00D11BF3" w:rsidRPr="009E0566" w:rsidRDefault="00D11BF3" w:rsidP="00025ACD">
            <w:pPr>
              <w:jc w:val="both"/>
              <w:rPr>
                <w:sz w:val="22"/>
                <w:szCs w:val="22"/>
              </w:rPr>
            </w:pPr>
            <w:r w:rsidRPr="009E0566">
              <w:rPr>
                <w:sz w:val="22"/>
                <w:szCs w:val="22"/>
              </w:rPr>
              <w:t xml:space="preserve">Qualitative research is primarily exploratory research. It is used to gain an understanding of underlying reasons, opinions, and motivations. It provides insights into the problem or helps to develop ideas or hypotheses for potential quantitative research. Qualitative designs describe data using words. Data collection includes interviews, observation and focus groups. </w:t>
            </w:r>
          </w:p>
          <w:p w14:paraId="1178BED6" w14:textId="77777777" w:rsidR="00D11BF3" w:rsidRPr="009E0566" w:rsidRDefault="00D11BF3" w:rsidP="00025ACD">
            <w:pPr>
              <w:jc w:val="both"/>
              <w:rPr>
                <w:sz w:val="22"/>
                <w:szCs w:val="22"/>
              </w:rPr>
            </w:pPr>
          </w:p>
        </w:tc>
      </w:tr>
      <w:tr w:rsidR="00D11BF3" w14:paraId="5D6F93C8" w14:textId="77777777" w:rsidTr="00025ACD">
        <w:tc>
          <w:tcPr>
            <w:tcW w:w="2547" w:type="dxa"/>
            <w:tcBorders>
              <w:top w:val="nil"/>
              <w:left w:val="nil"/>
              <w:bottom w:val="nil"/>
              <w:right w:val="nil"/>
            </w:tcBorders>
          </w:tcPr>
          <w:p w14:paraId="40B7D1D7"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Quantitative designs</w:t>
            </w:r>
          </w:p>
        </w:tc>
        <w:tc>
          <w:tcPr>
            <w:tcW w:w="6463" w:type="dxa"/>
            <w:tcBorders>
              <w:top w:val="nil"/>
              <w:left w:val="nil"/>
              <w:bottom w:val="nil"/>
              <w:right w:val="nil"/>
            </w:tcBorders>
          </w:tcPr>
          <w:p w14:paraId="66F9F61A" w14:textId="77777777" w:rsidR="00D11BF3" w:rsidRPr="009E0566" w:rsidRDefault="00D11BF3" w:rsidP="00025ACD">
            <w:pPr>
              <w:jc w:val="both"/>
              <w:rPr>
                <w:sz w:val="22"/>
                <w:szCs w:val="22"/>
              </w:rPr>
            </w:pPr>
            <w:r w:rsidRPr="009E0566">
              <w:rPr>
                <w:sz w:val="22"/>
                <w:szCs w:val="22"/>
              </w:rPr>
              <w:t xml:space="preserve">Collecting numerical data which can be ranked, put into categories, or measured in units. These can be presented in graphs and tables. Quantitative data can be used to test different explanations or hypotheses. Data collection includes questionnaires and surveys. </w:t>
            </w:r>
          </w:p>
          <w:p w14:paraId="1E632AD9" w14:textId="77777777" w:rsidR="00D11BF3" w:rsidRPr="009E0566" w:rsidRDefault="00D11BF3" w:rsidP="00025ACD">
            <w:pPr>
              <w:jc w:val="both"/>
              <w:rPr>
                <w:sz w:val="22"/>
                <w:szCs w:val="22"/>
              </w:rPr>
            </w:pPr>
          </w:p>
        </w:tc>
      </w:tr>
      <w:tr w:rsidR="00D11BF3" w14:paraId="698AFBA6" w14:textId="77777777" w:rsidTr="00025ACD">
        <w:tc>
          <w:tcPr>
            <w:tcW w:w="2547" w:type="dxa"/>
            <w:tcBorders>
              <w:top w:val="nil"/>
              <w:left w:val="nil"/>
              <w:bottom w:val="nil"/>
              <w:right w:val="nil"/>
            </w:tcBorders>
            <w:shd w:val="clear" w:color="auto" w:fill="D9E2F3" w:themeFill="accent1" w:themeFillTint="33"/>
          </w:tcPr>
          <w:p w14:paraId="1C854E67"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Reliability</w:t>
            </w:r>
          </w:p>
        </w:tc>
        <w:tc>
          <w:tcPr>
            <w:tcW w:w="6463" w:type="dxa"/>
            <w:tcBorders>
              <w:top w:val="nil"/>
              <w:left w:val="nil"/>
              <w:bottom w:val="nil"/>
              <w:right w:val="nil"/>
            </w:tcBorders>
            <w:shd w:val="clear" w:color="auto" w:fill="D9E2F3" w:themeFill="accent1" w:themeFillTint="33"/>
          </w:tcPr>
          <w:p w14:paraId="411D8ABA" w14:textId="77777777" w:rsidR="00D11BF3" w:rsidRPr="009E0566" w:rsidRDefault="00D11BF3" w:rsidP="00025ACD">
            <w:pPr>
              <w:jc w:val="both"/>
              <w:rPr>
                <w:sz w:val="22"/>
                <w:szCs w:val="22"/>
              </w:rPr>
            </w:pPr>
            <w:r w:rsidRPr="009E0566">
              <w:rPr>
                <w:sz w:val="22"/>
                <w:szCs w:val="22"/>
              </w:rPr>
              <w:t>This refers to the consistency of the measure you are using in your study. For example, if you had scales which measured weight differently each time you used them, this would not be a very reliable measure.</w:t>
            </w:r>
          </w:p>
          <w:p w14:paraId="255FDC16" w14:textId="77777777" w:rsidR="00D11BF3" w:rsidRPr="009E0566" w:rsidRDefault="00D11BF3" w:rsidP="00025ACD">
            <w:pPr>
              <w:jc w:val="both"/>
              <w:rPr>
                <w:sz w:val="22"/>
                <w:szCs w:val="22"/>
              </w:rPr>
            </w:pPr>
          </w:p>
        </w:tc>
      </w:tr>
      <w:tr w:rsidR="00D11BF3" w14:paraId="32318B5F" w14:textId="77777777" w:rsidTr="00025ACD">
        <w:tc>
          <w:tcPr>
            <w:tcW w:w="2547" w:type="dxa"/>
            <w:tcBorders>
              <w:top w:val="nil"/>
              <w:left w:val="nil"/>
              <w:bottom w:val="nil"/>
              <w:right w:val="nil"/>
            </w:tcBorders>
          </w:tcPr>
          <w:p w14:paraId="13E51056"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Research ethics </w:t>
            </w:r>
          </w:p>
        </w:tc>
        <w:tc>
          <w:tcPr>
            <w:tcW w:w="6463" w:type="dxa"/>
            <w:tcBorders>
              <w:top w:val="nil"/>
              <w:left w:val="nil"/>
              <w:bottom w:val="nil"/>
              <w:right w:val="nil"/>
            </w:tcBorders>
          </w:tcPr>
          <w:p w14:paraId="55B05E7A" w14:textId="77777777" w:rsidR="00D11BF3" w:rsidRPr="009E0566" w:rsidRDefault="00D11BF3" w:rsidP="00025ACD">
            <w:pPr>
              <w:jc w:val="both"/>
              <w:rPr>
                <w:sz w:val="22"/>
                <w:szCs w:val="22"/>
              </w:rPr>
            </w:pPr>
            <w:r w:rsidRPr="009E0566">
              <w:rPr>
                <w:sz w:val="22"/>
                <w:szCs w:val="22"/>
              </w:rPr>
              <w:t>Research Ethics is a world-wide set of principles governing the way any research involving interaction between the researcher and other humans or human tissue or data relating to humans, is designed, managed and conducted.</w:t>
            </w:r>
          </w:p>
          <w:p w14:paraId="6A2540BD" w14:textId="77777777" w:rsidR="00D11BF3" w:rsidRPr="009E0566" w:rsidRDefault="00D11BF3" w:rsidP="00025ACD">
            <w:pPr>
              <w:jc w:val="both"/>
              <w:rPr>
                <w:sz w:val="22"/>
                <w:szCs w:val="22"/>
              </w:rPr>
            </w:pPr>
          </w:p>
        </w:tc>
      </w:tr>
      <w:tr w:rsidR="00D11BF3" w14:paraId="782FFF39" w14:textId="77777777" w:rsidTr="00025ACD">
        <w:tc>
          <w:tcPr>
            <w:tcW w:w="2547" w:type="dxa"/>
            <w:tcBorders>
              <w:top w:val="nil"/>
              <w:left w:val="nil"/>
              <w:bottom w:val="nil"/>
              <w:right w:val="nil"/>
            </w:tcBorders>
            <w:shd w:val="clear" w:color="auto" w:fill="D9E2F3" w:themeFill="accent1" w:themeFillTint="33"/>
          </w:tcPr>
          <w:p w14:paraId="31BC86E4"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Research question</w:t>
            </w:r>
          </w:p>
        </w:tc>
        <w:tc>
          <w:tcPr>
            <w:tcW w:w="6463" w:type="dxa"/>
            <w:tcBorders>
              <w:top w:val="nil"/>
              <w:left w:val="nil"/>
              <w:bottom w:val="nil"/>
              <w:right w:val="nil"/>
            </w:tcBorders>
            <w:shd w:val="clear" w:color="auto" w:fill="D9E2F3" w:themeFill="accent1" w:themeFillTint="33"/>
          </w:tcPr>
          <w:p w14:paraId="288FA854" w14:textId="77777777" w:rsidR="00D11BF3" w:rsidRPr="009E0566" w:rsidRDefault="00D11BF3" w:rsidP="00025ACD">
            <w:pPr>
              <w:jc w:val="both"/>
              <w:rPr>
                <w:sz w:val="22"/>
                <w:szCs w:val="22"/>
              </w:rPr>
            </w:pPr>
            <w:r w:rsidRPr="009E0566">
              <w:rPr>
                <w:sz w:val="22"/>
                <w:szCs w:val="22"/>
              </w:rPr>
              <w:t>The specific question you are trying to answer through carrying out your research.</w:t>
            </w:r>
          </w:p>
          <w:p w14:paraId="2A396DA4" w14:textId="77777777" w:rsidR="00D11BF3" w:rsidRPr="009E0566" w:rsidRDefault="00D11BF3" w:rsidP="00025ACD">
            <w:pPr>
              <w:jc w:val="both"/>
              <w:rPr>
                <w:sz w:val="22"/>
                <w:szCs w:val="22"/>
              </w:rPr>
            </w:pPr>
          </w:p>
        </w:tc>
      </w:tr>
      <w:tr w:rsidR="00D11BF3" w14:paraId="7D3AA968" w14:textId="77777777" w:rsidTr="00025ACD">
        <w:tc>
          <w:tcPr>
            <w:tcW w:w="2547" w:type="dxa"/>
            <w:tcBorders>
              <w:top w:val="nil"/>
              <w:left w:val="nil"/>
              <w:bottom w:val="nil"/>
              <w:right w:val="nil"/>
            </w:tcBorders>
          </w:tcPr>
          <w:p w14:paraId="645F14F5"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Reverse Causality </w:t>
            </w:r>
          </w:p>
        </w:tc>
        <w:tc>
          <w:tcPr>
            <w:tcW w:w="6463" w:type="dxa"/>
            <w:tcBorders>
              <w:top w:val="nil"/>
              <w:left w:val="nil"/>
              <w:bottom w:val="nil"/>
              <w:right w:val="nil"/>
            </w:tcBorders>
          </w:tcPr>
          <w:p w14:paraId="2EB3E088" w14:textId="77777777" w:rsidR="00D11BF3" w:rsidRPr="009E0566" w:rsidRDefault="00D11BF3" w:rsidP="00025ACD">
            <w:pPr>
              <w:jc w:val="both"/>
              <w:rPr>
                <w:sz w:val="22"/>
                <w:szCs w:val="22"/>
              </w:rPr>
            </w:pPr>
            <w:r w:rsidRPr="009E0566">
              <w:rPr>
                <w:sz w:val="22"/>
                <w:szCs w:val="22"/>
              </w:rPr>
              <w:t>When two things are found to be correlated with each other – this means they happen together, it’s not always possible to tell whether factor A caused factor B or if it was the other way round – it was actually factor B which caused factor A to happen.</w:t>
            </w:r>
          </w:p>
          <w:p w14:paraId="45B99FF7" w14:textId="77777777" w:rsidR="00D11BF3" w:rsidRPr="009E0566" w:rsidRDefault="00D11BF3" w:rsidP="00025ACD">
            <w:pPr>
              <w:jc w:val="both"/>
              <w:rPr>
                <w:sz w:val="22"/>
                <w:szCs w:val="22"/>
              </w:rPr>
            </w:pPr>
          </w:p>
        </w:tc>
      </w:tr>
      <w:tr w:rsidR="00D11BF3" w14:paraId="0D2F6997" w14:textId="77777777" w:rsidTr="00025ACD">
        <w:tc>
          <w:tcPr>
            <w:tcW w:w="2547" w:type="dxa"/>
            <w:tcBorders>
              <w:top w:val="nil"/>
              <w:left w:val="nil"/>
              <w:bottom w:val="nil"/>
              <w:right w:val="nil"/>
            </w:tcBorders>
            <w:shd w:val="clear" w:color="auto" w:fill="D9E2F3" w:themeFill="accent1" w:themeFillTint="33"/>
          </w:tcPr>
          <w:p w14:paraId="4E820373"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Social determinants </w:t>
            </w:r>
          </w:p>
        </w:tc>
        <w:tc>
          <w:tcPr>
            <w:tcW w:w="6463" w:type="dxa"/>
            <w:tcBorders>
              <w:top w:val="nil"/>
              <w:left w:val="nil"/>
              <w:bottom w:val="nil"/>
              <w:right w:val="nil"/>
            </w:tcBorders>
            <w:shd w:val="clear" w:color="auto" w:fill="D9E2F3" w:themeFill="accent1" w:themeFillTint="33"/>
          </w:tcPr>
          <w:p w14:paraId="6CCB389A" w14:textId="77777777" w:rsidR="00D11BF3" w:rsidRPr="009E0566" w:rsidRDefault="00D11BF3" w:rsidP="00025ACD">
            <w:pPr>
              <w:jc w:val="both"/>
              <w:rPr>
                <w:sz w:val="22"/>
                <w:szCs w:val="22"/>
              </w:rPr>
            </w:pPr>
            <w:r w:rsidRPr="009E0566">
              <w:rPr>
                <w:sz w:val="22"/>
                <w:szCs w:val="22"/>
              </w:rPr>
              <w:t>The social determinants of health are the economic and social conditions that influence individual and group differences in health status.</w:t>
            </w:r>
          </w:p>
          <w:p w14:paraId="4B476661" w14:textId="77777777" w:rsidR="00D11BF3" w:rsidRPr="009E0566" w:rsidRDefault="00D11BF3" w:rsidP="00025ACD">
            <w:pPr>
              <w:jc w:val="both"/>
              <w:rPr>
                <w:sz w:val="22"/>
                <w:szCs w:val="22"/>
              </w:rPr>
            </w:pPr>
          </w:p>
        </w:tc>
      </w:tr>
      <w:tr w:rsidR="00D11BF3" w14:paraId="703D6AFF" w14:textId="77777777" w:rsidTr="00025ACD">
        <w:tc>
          <w:tcPr>
            <w:tcW w:w="2547" w:type="dxa"/>
            <w:tcBorders>
              <w:top w:val="nil"/>
              <w:left w:val="nil"/>
              <w:bottom w:val="nil"/>
              <w:right w:val="nil"/>
            </w:tcBorders>
          </w:tcPr>
          <w:p w14:paraId="6EF26ADE"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Undue influence </w:t>
            </w:r>
          </w:p>
        </w:tc>
        <w:tc>
          <w:tcPr>
            <w:tcW w:w="6463" w:type="dxa"/>
            <w:tcBorders>
              <w:top w:val="nil"/>
              <w:left w:val="nil"/>
              <w:bottom w:val="nil"/>
              <w:right w:val="nil"/>
            </w:tcBorders>
          </w:tcPr>
          <w:p w14:paraId="64FABC82" w14:textId="77777777" w:rsidR="00D11BF3" w:rsidRPr="009E0566" w:rsidRDefault="00D11BF3" w:rsidP="00025ACD">
            <w:pPr>
              <w:jc w:val="both"/>
              <w:rPr>
                <w:sz w:val="22"/>
                <w:szCs w:val="22"/>
              </w:rPr>
            </w:pPr>
            <w:r w:rsidRPr="009E0566">
              <w:rPr>
                <w:sz w:val="22"/>
                <w:szCs w:val="22"/>
              </w:rPr>
              <w:t xml:space="preserve">Undue influence, by contrast to coercion, often occurs through an offer of an excessive or inappropriate reward for participation. </w:t>
            </w:r>
          </w:p>
          <w:p w14:paraId="021EBCCB" w14:textId="77777777" w:rsidR="00D11BF3" w:rsidRPr="009E0566" w:rsidRDefault="00D11BF3" w:rsidP="00025ACD">
            <w:pPr>
              <w:jc w:val="both"/>
              <w:rPr>
                <w:sz w:val="22"/>
                <w:szCs w:val="22"/>
              </w:rPr>
            </w:pPr>
          </w:p>
        </w:tc>
      </w:tr>
      <w:tr w:rsidR="00D11BF3" w14:paraId="7ECE1D6D" w14:textId="77777777" w:rsidTr="00025ACD">
        <w:tc>
          <w:tcPr>
            <w:tcW w:w="2547" w:type="dxa"/>
            <w:tcBorders>
              <w:top w:val="nil"/>
              <w:left w:val="nil"/>
              <w:bottom w:val="nil"/>
              <w:right w:val="nil"/>
            </w:tcBorders>
            <w:shd w:val="clear" w:color="auto" w:fill="D9E2F3" w:themeFill="accent1" w:themeFillTint="33"/>
          </w:tcPr>
          <w:p w14:paraId="7F3E9BC4" w14:textId="77777777" w:rsidR="00D11BF3" w:rsidRPr="009E0566" w:rsidRDefault="00D11BF3" w:rsidP="00025ACD">
            <w:pPr>
              <w:rPr>
                <w:rFonts w:ascii="Calibri" w:hAnsi="Calibri" w:cs="Calibri"/>
                <w:b/>
                <w:color w:val="000000" w:themeColor="text1"/>
                <w:sz w:val="22"/>
                <w:szCs w:val="22"/>
              </w:rPr>
            </w:pPr>
            <w:r w:rsidRPr="009E0566">
              <w:rPr>
                <w:rFonts w:ascii="Calibri" w:hAnsi="Calibri" w:cs="Calibri"/>
                <w:b/>
                <w:color w:val="000000" w:themeColor="text1"/>
                <w:sz w:val="22"/>
                <w:szCs w:val="22"/>
              </w:rPr>
              <w:t xml:space="preserve">Validity </w:t>
            </w:r>
          </w:p>
        </w:tc>
        <w:tc>
          <w:tcPr>
            <w:tcW w:w="6463" w:type="dxa"/>
            <w:tcBorders>
              <w:top w:val="nil"/>
              <w:left w:val="nil"/>
              <w:bottom w:val="nil"/>
              <w:right w:val="nil"/>
            </w:tcBorders>
            <w:shd w:val="clear" w:color="auto" w:fill="D9E2F3" w:themeFill="accent1" w:themeFillTint="33"/>
          </w:tcPr>
          <w:p w14:paraId="1FEAAAF6" w14:textId="77777777" w:rsidR="00D11BF3" w:rsidRPr="009E0566" w:rsidRDefault="00D11BF3" w:rsidP="00025ACD">
            <w:pPr>
              <w:jc w:val="both"/>
              <w:rPr>
                <w:sz w:val="22"/>
                <w:szCs w:val="22"/>
              </w:rPr>
            </w:pPr>
            <w:r w:rsidRPr="009E0566">
              <w:rPr>
                <w:sz w:val="22"/>
                <w:szCs w:val="22"/>
              </w:rPr>
              <w:t>This means that your research design is measuring what you intend it to measure. For example, if you design a survey measuring intelligence, it should measure intelligence and not something else such as memory.</w:t>
            </w:r>
          </w:p>
          <w:p w14:paraId="08AD637B" w14:textId="77777777" w:rsidR="00D11BF3" w:rsidRPr="009E0566" w:rsidRDefault="00D11BF3" w:rsidP="00025ACD">
            <w:pPr>
              <w:jc w:val="both"/>
              <w:rPr>
                <w:sz w:val="22"/>
                <w:szCs w:val="22"/>
              </w:rPr>
            </w:pPr>
          </w:p>
        </w:tc>
      </w:tr>
    </w:tbl>
    <w:p w14:paraId="444BE432" w14:textId="77777777" w:rsidR="00D11BF3" w:rsidRPr="0072365C" w:rsidRDefault="00D11BF3" w:rsidP="00D11BF3"/>
    <w:p w14:paraId="64B7F645" w14:textId="77777777" w:rsidR="00495425" w:rsidRDefault="00495425"/>
    <w:sectPr w:rsidR="004954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C84C" w14:textId="77777777" w:rsidR="00BD4938" w:rsidRDefault="00BD4938" w:rsidP="00FA742D">
      <w:r>
        <w:separator/>
      </w:r>
    </w:p>
  </w:endnote>
  <w:endnote w:type="continuationSeparator" w:id="0">
    <w:p w14:paraId="16233B59" w14:textId="77777777" w:rsidR="00BD4938" w:rsidRDefault="00BD4938" w:rsidP="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B165" w14:textId="77777777" w:rsidR="00D11BF3" w:rsidRDefault="00D1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11A632F9"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D11BF3">
      <w:rPr>
        <w:rFonts w:ascii="Times New Roman" w:hAnsi="Times New Roman" w:cs="Times New Roman"/>
      </w:rPr>
      <w:t>Glossary of Research Terms</w:t>
    </w:r>
    <w:bookmarkStart w:id="0" w:name="_GoBack"/>
    <w:bookmarkEnd w:id="0"/>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DD10" w14:textId="77777777" w:rsidR="00D11BF3" w:rsidRDefault="00D1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FC77" w14:textId="77777777" w:rsidR="00BD4938" w:rsidRDefault="00BD4938" w:rsidP="00FA742D">
      <w:r>
        <w:separator/>
      </w:r>
    </w:p>
  </w:footnote>
  <w:footnote w:type="continuationSeparator" w:id="0">
    <w:p w14:paraId="5AB28FB8" w14:textId="77777777" w:rsidR="00BD4938" w:rsidRDefault="00BD4938" w:rsidP="00FA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A598" w14:textId="77777777" w:rsidR="00D11BF3" w:rsidRDefault="00D1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045B" w14:textId="77777777" w:rsidR="00D11BF3" w:rsidRDefault="00D1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ADF" w14:textId="77777777" w:rsidR="00D11BF3" w:rsidRDefault="00D1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A0A9D"/>
    <w:rsid w:val="00102ADE"/>
    <w:rsid w:val="00157EEB"/>
    <w:rsid w:val="00334D25"/>
    <w:rsid w:val="00495425"/>
    <w:rsid w:val="00510A40"/>
    <w:rsid w:val="00520E6B"/>
    <w:rsid w:val="008A44AE"/>
    <w:rsid w:val="008D32CA"/>
    <w:rsid w:val="009E37DC"/>
    <w:rsid w:val="00AA047B"/>
    <w:rsid w:val="00BB16EE"/>
    <w:rsid w:val="00BD4938"/>
    <w:rsid w:val="00C259F1"/>
    <w:rsid w:val="00C854E5"/>
    <w:rsid w:val="00D11BF3"/>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B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spacing w:after="160" w:line="259" w:lineRule="auto"/>
      <w:ind w:left="720"/>
      <w:contextualSpacing/>
    </w:pPr>
    <w:rPr>
      <w:sz w:val="22"/>
      <w:szCs w:val="22"/>
    </w:rPr>
  </w:style>
  <w:style w:type="paragraph" w:styleId="Header">
    <w:name w:val="header"/>
    <w:basedOn w:val="Normal"/>
    <w:link w:val="HeaderChar"/>
    <w:uiPriority w:val="99"/>
    <w:unhideWhenUsed/>
    <w:rsid w:val="00FA742D"/>
    <w:pPr>
      <w:tabs>
        <w:tab w:val="center" w:pos="4680"/>
        <w:tab w:val="right" w:pos="9360"/>
      </w:tabs>
    </w:pPr>
    <w:rPr>
      <w:sz w:val="22"/>
      <w:szCs w:val="22"/>
    </w:r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pPr>
    <w:rPr>
      <w:sz w:val="22"/>
      <w:szCs w:val="22"/>
    </w:rPr>
  </w:style>
  <w:style w:type="character" w:customStyle="1" w:styleId="FooterChar">
    <w:name w:val="Footer Char"/>
    <w:basedOn w:val="DefaultParagraphFont"/>
    <w:link w:val="Footer"/>
    <w:uiPriority w:val="99"/>
    <w:rsid w:val="00FA742D"/>
  </w:style>
  <w:style w:type="paragraph" w:styleId="IntenseQuote">
    <w:name w:val="Intense Quote"/>
    <w:basedOn w:val="Normal"/>
    <w:next w:val="Normal"/>
    <w:link w:val="IntenseQuoteChar"/>
    <w:uiPriority w:val="30"/>
    <w:qFormat/>
    <w:rsid w:val="00D11B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1BF3"/>
    <w:rPr>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12</cp:revision>
  <dcterms:created xsi:type="dcterms:W3CDTF">2019-04-04T10:03:00Z</dcterms:created>
  <dcterms:modified xsi:type="dcterms:W3CDTF">2020-04-03T13:22:00Z</dcterms:modified>
</cp:coreProperties>
</file>